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fntdata" ContentType="application/x-fontdata"/>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865"/>
      </w:tblGrid>
      <w:tr>
        <w:tc>
          <w:tcPr>
            <w:tcW w:type="dxa" w:w="9865"/>
            <w:shd w:val="clear" w:color="auto" w:fill="35394F"/>
            <w:tcMar>
              <w:top w:w="240" w:type="dxa"/>
              <w:left w:w="0" w:type="dxa"/>
              <w:bottom w:w="240" w:type="dxa"/>
              <w:right w:w="0" w:type="dxa"/>
            </w:tcMar>
          </w:tcPr>
          <w:p>
            <w:pPr>
              <w:spacing w:before="0" w:after="0" w:line="240" w:lineRule="auto"/>
              <w:ind w:left="260" w:right="260"/>
              <w:jc w:val="right"/>
            </w:pPr>
            <w:hyperlink r:id="rId10">
              <w:r>
                <w:drawing>
                  <wp:inline xmlns:a="http://schemas.openxmlformats.org/drawingml/2006/main" xmlns:pic="http://schemas.openxmlformats.org/drawingml/2006/picture">
                    <wp:extent cx="720000" cy="391800"/>
                    <wp:docPr id="1" name="Picture 1" descr="ETHYX — ethyx.eu" title="ETHYX — ethyx.eu"/>
                    <wp:cNvGraphicFramePr>
                      <a:graphicFrameLocks noChangeAspect="1"/>
                    </wp:cNvGraphicFramePr>
                    <a:graphic>
                      <a:graphicData uri="http://schemas.openxmlformats.org/drawingml/2006/picture">
                        <pic:pic>
                          <pic:nvPicPr>
                            <pic:cNvPr id="0" name="logo-lockup.png"/>
                            <pic:cNvPicPr/>
                          </pic:nvPicPr>
                          <pic:blipFill>
                            <a:blip r:embed="rId9"/>
                            <a:stretch>
                              <a:fillRect/>
                            </a:stretch>
                          </pic:blipFill>
                          <pic:spPr>
                            <a:xfrm>
                              <a:off x="0" y="0"/>
                              <a:ext cx="720000" cy="391800"/>
                            </a:xfrm>
                            <a:prstGeom prst="rect"/>
                          </pic:spPr>
                        </pic:pic>
                      </a:graphicData>
                    </a:graphic>
                  </wp:inline>
                </w:drawing>
              </w:r>
            </w:hyperlink>
          </w:p>
          <w:p>
            <w:pPr>
              <w:spacing w:before="0" w:after="0" w:line="240" w:lineRule="exact"/>
              <w:ind w:left="260" w:right="260"/>
            </w:pPr>
          </w:p>
          <w:p>
            <w:pPr>
              <w:spacing w:before="0" w:after="0" w:line="252" w:lineRule="auto"/>
              <w:ind w:left="260" w:right="260"/>
            </w:pPr>
            <w:r>
              <w:rPr>
                <w:rFonts w:ascii="Funnel Display" w:hAnsi="Funnel Display" w:cs="Funnel Display" w:eastAsia="Funnel Display"/>
                <w:b/>
                <w:i w:val="0"/>
                <w:color w:val="FFFFFF"/>
                <w:sz w:val="44"/>
              </w:rPr>
              <w:t>Data Protection Impact Assessment (DPIA)</w:t>
            </w:r>
          </w:p>
          <w:p>
            <w:pPr>
              <w:spacing w:before="100" w:after="0" w:line="276" w:lineRule="auto"/>
              <w:ind w:left="260" w:right="260"/>
            </w:pPr>
            <w:r>
              <w:rPr>
                <w:rFonts w:ascii="Inter" w:hAnsi="Inter" w:cs="Inter" w:eastAsia="Inter"/>
                <w:b w:val="0"/>
                <w:i w:val="0"/>
                <w:color w:val="FFFFFF"/>
                <w:sz w:val="21"/>
              </w:rPr>
              <w:t>Pursuant to Art. 35 GDPR · Template &amp; workflow for SMEs · EN</w:t>
            </w:r>
          </w:p>
          <w:p>
            <w:pPr>
              <w:spacing w:before="140" w:after="0" w:line="288" w:lineRule="auto"/>
              <w:ind w:left="260" w:right="260"/>
            </w:pPr>
            <w:r>
              <w:rPr>
                <w:rFonts w:ascii="Inter" w:hAnsi="Inter" w:cs="Inter" w:eastAsia="Inter"/>
                <w:b w:val="0"/>
                <w:i w:val="0"/>
                <w:color w:val="E5E7EB"/>
                <w:sz w:val="15"/>
              </w:rPr>
              <w:t>Legally reviewed by a certified Data Protection Officer (CIPP/E) · Provided by ETHYX · Version 1.0 · June 2026</w:t>
            </w:r>
          </w:p>
        </w:tc>
      </w:tr>
    </w:tbl>
    <w:p>
      <w:pPr>
        <w:shd w:val="clear" w:color="auto" w:fill="E34663"/>
        <w:spacing w:before="0" w:after="200" w:line="60" w:lineRule="exact"/>
      </w:pPr>
    </w:p>
    <w:p>
      <w:pPr>
        <w:spacing w:before="0" w:after="0" w:line="12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A DPIA assesses the risks a planned processing activity poses to people's rights and freedoms, and the measures to reduce them. It is required before high-risk processing begins (Art. 35). Work through the steps in order: Step 1 decides whether you even need a DPIA – if you do, complete Steps 2–7. Replace every [placeholder], fill in the tables, and have your DPO review the result. Keep the completed DPIA on file as evidence of accountability (Art. 5(2)).</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Document control</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798"/>
        <w:gridCol w:w="5067"/>
      </w:tblGrid>
      <w:tr>
        <w:trPr>
          <w:cantSplit w:val="1"/>
          <w:tblHeader w:val="1"/>
        </w:trPr>
        <w:tc>
          <w:tcPr>
            <w:tcW w:type="dxa" w:w="4798"/>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Field</w:t>
            </w:r>
          </w:p>
        </w:tc>
        <w:tc>
          <w:tcPr>
            <w:tcW w:type="dxa" w:w="5067"/>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Entry</w:t>
            </w:r>
          </w:p>
        </w:tc>
      </w:tr>
      <w:tr>
        <w:trPr>
          <w:cantSplit w:val="1"/>
        </w:trPr>
        <w:tc>
          <w:tcPr>
            <w:tcW w:type="dxa" w:w="4798"/>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Processing activity / project</w:t>
            </w:r>
          </w:p>
        </w:tc>
        <w:tc>
          <w:tcPr>
            <w:tcW w:type="dxa" w:w="506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[name of the project or system]</w:t>
            </w:r>
          </w:p>
        </w:tc>
      </w:tr>
      <w:tr>
        <w:trPr>
          <w:cantSplit w:val="1"/>
        </w:trPr>
        <w:tc>
          <w:tcPr>
            <w:tcW w:type="dxa" w:w="4798"/>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Controller</w:t>
            </w:r>
          </w:p>
        </w:tc>
        <w:tc>
          <w:tcPr>
            <w:tcW w:type="dxa" w:w="506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[company name]</w:t>
            </w:r>
          </w:p>
        </w:tc>
      </w:tr>
      <w:tr>
        <w:trPr>
          <w:cantSplit w:val="1"/>
        </w:trPr>
        <w:tc>
          <w:tcPr>
            <w:tcW w:type="dxa" w:w="4798"/>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DPIA author</w:t>
            </w:r>
          </w:p>
        </w:tc>
        <w:tc>
          <w:tcPr>
            <w:tcW w:type="dxa" w:w="506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[name, role]</w:t>
            </w:r>
          </w:p>
        </w:tc>
      </w:tr>
      <w:tr>
        <w:trPr>
          <w:cantSplit w:val="1"/>
        </w:trPr>
        <w:tc>
          <w:tcPr>
            <w:tcW w:type="dxa" w:w="4798"/>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DPO consulted</w:t>
            </w:r>
          </w:p>
        </w:tc>
        <w:tc>
          <w:tcPr>
            <w:tcW w:type="dxa" w:w="506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[name – see Step 3]</w:t>
            </w:r>
          </w:p>
        </w:tc>
      </w:tr>
      <w:tr>
        <w:trPr>
          <w:cantSplit w:val="1"/>
        </w:trPr>
        <w:tc>
          <w:tcPr>
            <w:tcW w:type="dxa" w:w="4798"/>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Date started</w:t>
            </w:r>
          </w:p>
        </w:tc>
        <w:tc>
          <w:tcPr>
            <w:tcW w:type="dxa" w:w="506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[date]</w:t>
            </w:r>
          </w:p>
        </w:tc>
      </w:tr>
      <w:tr>
        <w:trPr>
          <w:cantSplit w:val="1"/>
        </w:trPr>
        <w:tc>
          <w:tcPr>
            <w:tcW w:type="dxa" w:w="4798"/>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Version / status</w:t>
            </w:r>
          </w:p>
        </w:tc>
        <w:tc>
          <w:tcPr>
            <w:tcW w:type="dxa" w:w="506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[v1.0 – draft / final]</w:t>
            </w: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Step 1 – Do you need a DPIA? (Screening)</w:t>
      </w:r>
    </w:p>
    <w:p>
      <w:pPr>
        <w:spacing w:before="0" w:after="120" w:line="324" w:lineRule="auto"/>
        <w:ind w:left="260" w:right="260"/>
      </w:pPr>
      <w:r>
        <w:rPr>
          <w:rFonts w:ascii="Inter" w:hAnsi="Inter" w:cs="Inter" w:eastAsia="Inter"/>
          <w:b w:val="0"/>
          <w:i w:val="0"/>
          <w:color w:val="35394F"/>
          <w:sz w:val="20"/>
        </w:rPr>
        <w:t>A DPIA is mandatory in the cases listed in Art. 35(3) GDPR, and generally required where two or more of the EDPB criteria below apply. Screen the planned processing first.</w:t>
      </w:r>
    </w:p>
    <w:p>
      <w:pPr>
        <w:keepNext w:val="1"/>
        <w:keepLines w:val="1"/>
        <w:spacing w:before="180" w:after="60" w:line="276" w:lineRule="auto"/>
        <w:ind w:left="260" w:right="260"/>
      </w:pPr>
      <w:r>
        <w:rPr>
          <w:rFonts w:ascii="Funnel Display" w:hAnsi="Funnel Display" w:cs="Funnel Display" w:eastAsia="Funnel Display"/>
          <w:b/>
          <w:i w:val="0"/>
          <w:color w:val="35394F"/>
          <w:sz w:val="21"/>
        </w:rPr>
        <w:t>Always required (Art. 35(3))</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559"/>
        <w:gridCol w:w="7691"/>
        <w:gridCol w:w="1615"/>
      </w:tblGrid>
      <w:tr>
        <w:trPr>
          <w:cantSplit w:val="1"/>
          <w:tblHeader w:val="1"/>
        </w:trPr>
        <w:tc>
          <w:tcPr>
            <w:tcW w:type="dxa" w:w="559"/>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w:t>
            </w:r>
          </w:p>
        </w:tc>
        <w:tc>
          <w:tcPr>
            <w:tcW w:type="dxa" w:w="7691"/>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Mandatory case</w:t>
            </w:r>
          </w:p>
        </w:tc>
        <w:tc>
          <w:tcPr>
            <w:tcW w:type="dxa" w:w="1615"/>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Applies?</w:t>
            </w:r>
          </w:p>
        </w:tc>
      </w:tr>
      <w:tr>
        <w:trPr>
          <w:cantSplit w:val="1"/>
        </w:trPr>
        <w:tc>
          <w:tcPr>
            <w:tcW w:type="dxa" w:w="55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a</w:t>
            </w:r>
          </w:p>
        </w:tc>
        <w:tc>
          <w:tcPr>
            <w:tcW w:type="dxa" w:w="769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Systematic and extensive evaluation/profiling with legal or similarly significant effects</w:t>
            </w:r>
          </w:p>
        </w:tc>
        <w:tc>
          <w:tcPr>
            <w:tcW w:type="dxa" w:w="161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[Yes/No]</w:t>
            </w:r>
          </w:p>
        </w:tc>
      </w:tr>
      <w:tr>
        <w:trPr>
          <w:cantSplit w:val="1"/>
        </w:trPr>
        <w:tc>
          <w:tcPr>
            <w:tcW w:type="dxa" w:w="559"/>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b</w:t>
            </w:r>
          </w:p>
        </w:tc>
        <w:tc>
          <w:tcPr>
            <w:tcW w:type="dxa" w:w="769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Large-scale processing of special-category (Art. 9) or criminal-offence (Art. 10) data</w:t>
            </w:r>
          </w:p>
        </w:tc>
        <w:tc>
          <w:tcPr>
            <w:tcW w:type="dxa" w:w="161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[Yes/No]</w:t>
            </w:r>
          </w:p>
        </w:tc>
      </w:tr>
      <w:tr>
        <w:trPr>
          <w:cantSplit w:val="1"/>
        </w:trPr>
        <w:tc>
          <w:tcPr>
            <w:tcW w:type="dxa" w:w="559"/>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c</w:t>
            </w:r>
          </w:p>
        </w:tc>
        <w:tc>
          <w:tcPr>
            <w:tcW w:type="dxa" w:w="769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Systematic monitoring of a publicly accessible area on a large scale</w:t>
            </w:r>
          </w:p>
        </w:tc>
        <w:tc>
          <w:tcPr>
            <w:tcW w:type="dxa" w:w="161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[Yes/No]</w:t>
            </w:r>
          </w:p>
        </w:tc>
      </w:tr>
    </w:tbl>
    <w:p>
      <w:pPr>
        <w:spacing w:before="0" w:after="0" w:line="160" w:lineRule="exact"/>
      </w:pPr>
    </w:p>
    <w:p>
      <w:pPr>
        <w:keepNext w:val="1"/>
        <w:keepLines w:val="1"/>
        <w:spacing w:before="180" w:after="60" w:line="276" w:lineRule="auto"/>
        <w:ind w:left="260" w:right="260"/>
      </w:pPr>
      <w:r>
        <w:rPr>
          <w:rFonts w:ascii="Funnel Display" w:hAnsi="Funnel Display" w:cs="Funnel Display" w:eastAsia="Funnel Display"/>
          <w:b/>
          <w:i w:val="0"/>
          <w:color w:val="35394F"/>
          <w:sz w:val="21"/>
        </w:rPr>
        <w:t>EDPB risk criteria (two or more → DPIA generally required)</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601"/>
        <w:gridCol w:w="7361"/>
        <w:gridCol w:w="1903"/>
      </w:tblGrid>
      <w:tr>
        <w:trPr>
          <w:cantSplit w:val="1"/>
          <w:tblHeader w:val="1"/>
        </w:trPr>
        <w:tc>
          <w:tcPr>
            <w:tcW w:type="dxa" w:w="601"/>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w:t>
            </w:r>
          </w:p>
        </w:tc>
        <w:tc>
          <w:tcPr>
            <w:tcW w:type="dxa" w:w="7361"/>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Criterion</w:t>
            </w:r>
          </w:p>
        </w:tc>
        <w:tc>
          <w:tcPr>
            <w:tcW w:type="dxa" w:w="1903"/>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Applies?</w:t>
            </w:r>
          </w:p>
        </w:tc>
      </w:tr>
      <w:tr>
        <w:trPr>
          <w:cantSplit w:val="1"/>
        </w:trPr>
        <w:tc>
          <w:tcPr>
            <w:tcW w:type="dxa" w:w="601"/>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1</w:t>
            </w:r>
          </w:p>
        </w:tc>
        <w:tc>
          <w:tcPr>
            <w:tcW w:type="dxa" w:w="736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Evaluation or scoring, including profiling and prediction</w:t>
            </w:r>
          </w:p>
        </w:tc>
        <w:tc>
          <w:tcPr>
            <w:tcW w:type="dxa" w:w="190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[Yes/No]</w:t>
            </w:r>
          </w:p>
        </w:tc>
      </w:tr>
      <w:tr>
        <w:trPr>
          <w:cantSplit w:val="1"/>
        </w:trPr>
        <w:tc>
          <w:tcPr>
            <w:tcW w:type="dxa" w:w="601"/>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2</w:t>
            </w:r>
          </w:p>
        </w:tc>
        <w:tc>
          <w:tcPr>
            <w:tcW w:type="dxa" w:w="736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Automated decision-making with legal or similarly significant effect</w:t>
            </w:r>
          </w:p>
        </w:tc>
        <w:tc>
          <w:tcPr>
            <w:tcW w:type="dxa" w:w="190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[Yes/No]</w:t>
            </w:r>
          </w:p>
        </w:tc>
      </w:tr>
      <w:tr>
        <w:trPr>
          <w:cantSplit w:val="1"/>
        </w:trPr>
        <w:tc>
          <w:tcPr>
            <w:tcW w:type="dxa" w:w="601"/>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3</w:t>
            </w:r>
          </w:p>
        </w:tc>
        <w:tc>
          <w:tcPr>
            <w:tcW w:type="dxa" w:w="736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Systematic monitoring</w:t>
            </w:r>
          </w:p>
        </w:tc>
        <w:tc>
          <w:tcPr>
            <w:tcW w:type="dxa" w:w="190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[Yes/No]</w:t>
            </w:r>
          </w:p>
        </w:tc>
      </w:tr>
      <w:tr>
        <w:trPr>
          <w:cantSplit w:val="1"/>
        </w:trPr>
        <w:tc>
          <w:tcPr>
            <w:tcW w:type="dxa" w:w="601"/>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4</w:t>
            </w:r>
          </w:p>
        </w:tc>
        <w:tc>
          <w:tcPr>
            <w:tcW w:type="dxa" w:w="736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Sensitive data or data of a highly personal nature</w:t>
            </w:r>
          </w:p>
        </w:tc>
        <w:tc>
          <w:tcPr>
            <w:tcW w:type="dxa" w:w="190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[Yes/No]</w:t>
            </w:r>
          </w:p>
        </w:tc>
      </w:tr>
      <w:tr>
        <w:trPr>
          <w:cantSplit w:val="1"/>
        </w:trPr>
        <w:tc>
          <w:tcPr>
            <w:tcW w:type="dxa" w:w="601"/>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5</w:t>
            </w:r>
          </w:p>
        </w:tc>
        <w:tc>
          <w:tcPr>
            <w:tcW w:type="dxa" w:w="736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Data processed on a large scale</w:t>
            </w:r>
          </w:p>
        </w:tc>
        <w:tc>
          <w:tcPr>
            <w:tcW w:type="dxa" w:w="190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[Yes/No]</w:t>
            </w:r>
          </w:p>
        </w:tc>
      </w:tr>
      <w:tr>
        <w:trPr>
          <w:cantSplit w:val="1"/>
        </w:trPr>
        <w:tc>
          <w:tcPr>
            <w:tcW w:type="dxa" w:w="601"/>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6</w:t>
            </w:r>
          </w:p>
        </w:tc>
        <w:tc>
          <w:tcPr>
            <w:tcW w:type="dxa" w:w="736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Matching or combining datasets</w:t>
            </w:r>
          </w:p>
        </w:tc>
        <w:tc>
          <w:tcPr>
            <w:tcW w:type="dxa" w:w="190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[Yes/No]</w:t>
            </w:r>
          </w:p>
        </w:tc>
      </w:tr>
      <w:tr>
        <w:trPr>
          <w:cantSplit w:val="1"/>
        </w:trPr>
        <w:tc>
          <w:tcPr>
            <w:tcW w:type="dxa" w:w="601"/>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7</w:t>
            </w:r>
          </w:p>
        </w:tc>
        <w:tc>
          <w:tcPr>
            <w:tcW w:type="dxa" w:w="736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Data concerning vulnerable data subjects (e.g. children, employees)</w:t>
            </w:r>
          </w:p>
        </w:tc>
        <w:tc>
          <w:tcPr>
            <w:tcW w:type="dxa" w:w="190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[Yes/No]</w:t>
            </w:r>
          </w:p>
        </w:tc>
      </w:tr>
      <w:tr>
        <w:trPr>
          <w:cantSplit w:val="1"/>
        </w:trPr>
        <w:tc>
          <w:tcPr>
            <w:tcW w:type="dxa" w:w="601"/>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8</w:t>
            </w:r>
          </w:p>
        </w:tc>
        <w:tc>
          <w:tcPr>
            <w:tcW w:type="dxa" w:w="736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Innovative use or applying new technological or organisational solutions</w:t>
            </w:r>
          </w:p>
        </w:tc>
        <w:tc>
          <w:tcPr>
            <w:tcW w:type="dxa" w:w="1903"/>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[Yes/No]</w:t>
            </w:r>
          </w:p>
        </w:tc>
      </w:tr>
      <w:tr>
        <w:trPr>
          <w:cantSplit w:val="1"/>
        </w:trPr>
        <w:tc>
          <w:tcPr>
            <w:tcW w:type="dxa" w:w="601"/>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9</w:t>
            </w:r>
          </w:p>
        </w:tc>
        <w:tc>
          <w:tcPr>
            <w:tcW w:type="dxa" w:w="736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Processing that prevents data subjects from exercising a right or using a service</w:t>
            </w:r>
          </w:p>
        </w:tc>
        <w:tc>
          <w:tcPr>
            <w:tcW w:type="dxa" w:w="1903"/>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[Yes/No]</w:t>
            </w:r>
          </w:p>
        </w:tc>
      </w:tr>
    </w:tbl>
    <w:p>
      <w:pPr>
        <w:spacing w:before="0" w:after="0" w:line="160" w:lineRule="exact"/>
      </w:pPr>
    </w:p>
    <w:p>
      <w:pPr>
        <w:spacing w:before="0" w:after="120" w:line="324" w:lineRule="auto"/>
        <w:ind w:left="260" w:right="260"/>
      </w:pPr>
      <w:r>
        <w:rPr>
          <w:rFonts w:ascii="Inter" w:hAnsi="Inter" w:cs="Inter" w:eastAsia="Inter"/>
          <w:b w:val="0"/>
          <w:i w:val="0"/>
          <w:color w:val="35394F"/>
          <w:sz w:val="20"/>
        </w:rPr>
        <w:t xml:space="preserve">Screening outcome: </w:t>
      </w:r>
      <w:r>
        <w:rPr>
          <w:rFonts w:ascii="Inter" w:hAnsi="Inter" w:cs="Inter" w:eastAsia="Inter"/>
          <w:b/>
          <w:i w:val="0"/>
          <w:color w:val="E34663"/>
          <w:sz w:val="20"/>
        </w:rPr>
        <w:t>[DPIA required – continue to Step 2  /  DPIA not required – record this conclusion and the reasoning, then stop]</w:t>
      </w:r>
      <w:r>
        <w:rPr>
          <w:rFonts w:ascii="Inter" w:hAnsi="Inter" w:cs="Inter" w:eastAsia="Inter"/>
          <w:b w:val="0"/>
          <w:i w:val="0"/>
          <w:color w:val="35394F"/>
          <w:sz w:val="20"/>
        </w:rPr>
        <w:t>.</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If in doubt, do the DPIA – it is cheaper than a finding. If you conclude no DPIA is needed, document why; that record is itself part of your accountability.</w:t>
            </w:r>
          </w:p>
        </w:tc>
      </w:tr>
    </w:tbl>
    <w:p>
      <w:pPr>
        <w:spacing w:before="0" w:after="0" w:line="12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Step 2 – Describe the processing</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580"/>
        <w:gridCol w:w="7285"/>
      </w:tblGrid>
      <w:tr>
        <w:trPr>
          <w:cantSplit w:val="1"/>
          <w:tblHeader w:val="1"/>
        </w:trPr>
        <w:tc>
          <w:tcPr>
            <w:tcW w:type="dxa" w:w="2580"/>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Item</w:t>
            </w:r>
          </w:p>
        </w:tc>
        <w:tc>
          <w:tcPr>
            <w:tcW w:type="dxa" w:w="7285"/>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Description</w:t>
            </w:r>
          </w:p>
        </w:tc>
      </w:tr>
      <w:tr>
        <w:trPr>
          <w:cantSplit w:val="1"/>
        </w:trPr>
        <w:tc>
          <w:tcPr>
            <w:tcW w:type="dxa" w:w="258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Nature of processing</w:t>
            </w:r>
          </w:p>
        </w:tc>
        <w:tc>
          <w:tcPr>
            <w:tcW w:type="dxa" w:w="728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[what you plan to do with the data: collection, use, storage, sharing, deletion]</w:t>
            </w:r>
          </w:p>
        </w:tc>
      </w:tr>
      <w:tr>
        <w:trPr>
          <w:cantSplit w:val="1"/>
        </w:trPr>
        <w:tc>
          <w:tcPr>
            <w:tcW w:type="dxa" w:w="258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Scope</w:t>
            </w:r>
          </w:p>
        </w:tc>
        <w:tc>
          <w:tcPr>
            <w:tcW w:type="dxa" w:w="728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[volume and variety of data, number of data subjects, geographic extent, retention period]</w:t>
            </w:r>
          </w:p>
        </w:tc>
      </w:tr>
      <w:tr>
        <w:trPr>
          <w:cantSplit w:val="1"/>
        </w:trPr>
        <w:tc>
          <w:tcPr>
            <w:tcW w:type="dxa" w:w="258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Context</w:t>
            </w:r>
          </w:p>
        </w:tc>
        <w:tc>
          <w:tcPr>
            <w:tcW w:type="dxa" w:w="728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[relationship with individuals, their expectations, prior concerns, state of the art]</w:t>
            </w:r>
          </w:p>
        </w:tc>
      </w:tr>
      <w:tr>
        <w:trPr>
          <w:cantSplit w:val="1"/>
        </w:trPr>
        <w:tc>
          <w:tcPr>
            <w:tcW w:type="dxa" w:w="258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Purposes</w:t>
            </w:r>
          </w:p>
        </w:tc>
        <w:tc>
          <w:tcPr>
            <w:tcW w:type="dxa" w:w="728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[what you want to achieve; the intended effect on individuals; the benefit]</w:t>
            </w:r>
          </w:p>
        </w:tc>
      </w:tr>
      <w:tr>
        <w:trPr>
          <w:cantSplit w:val="1"/>
        </w:trPr>
        <w:tc>
          <w:tcPr>
            <w:tcW w:type="dxa" w:w="258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Data types</w:t>
            </w:r>
          </w:p>
        </w:tc>
        <w:tc>
          <w:tcPr>
            <w:tcW w:type="dxa" w:w="728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[categories of personal data, incl. any special-category data]</w:t>
            </w:r>
          </w:p>
        </w:tc>
      </w:tr>
      <w:tr>
        <w:trPr>
          <w:cantSplit w:val="1"/>
        </w:trPr>
        <w:tc>
          <w:tcPr>
            <w:tcW w:type="dxa" w:w="258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Data subjects</w:t>
            </w:r>
          </w:p>
        </w:tc>
        <w:tc>
          <w:tcPr>
            <w:tcW w:type="dxa" w:w="728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[whose data: customers, employees, etc.]</w:t>
            </w:r>
          </w:p>
        </w:tc>
      </w:tr>
      <w:tr>
        <w:trPr>
          <w:cantSplit w:val="1"/>
        </w:trPr>
        <w:tc>
          <w:tcPr>
            <w:tcW w:type="dxa" w:w="258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Recipients / processors</w:t>
            </w:r>
          </w:p>
        </w:tc>
        <w:tc>
          <w:tcPr>
            <w:tcW w:type="dxa" w:w="728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[who receives the data; processors involved]</w:t>
            </w:r>
          </w:p>
        </w:tc>
      </w:tr>
      <w:tr>
        <w:trPr>
          <w:cantSplit w:val="1"/>
        </w:trPr>
        <w:tc>
          <w:tcPr>
            <w:tcW w:type="dxa" w:w="258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International transfers</w:t>
            </w:r>
          </w:p>
        </w:tc>
        <w:tc>
          <w:tcPr>
            <w:tcW w:type="dxa" w:w="728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[any transfer outside the EU/EEA + safeguard]</w:t>
            </w: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Step 3 – Consultation</w:t>
      </w:r>
    </w:p>
    <w:p>
      <w:pPr>
        <w:spacing w:before="0" w:after="120" w:line="324" w:lineRule="auto"/>
        <w:ind w:left="260" w:right="260"/>
      </w:pPr>
      <w:r>
        <w:rPr>
          <w:rFonts w:ascii="Inter" w:hAnsi="Inter" w:cs="Inter" w:eastAsia="Inter"/>
          <w:b w:val="0"/>
          <w:i w:val="0"/>
          <w:color w:val="35394F"/>
          <w:sz w:val="20"/>
        </w:rPr>
        <w:t>Record the advice of the DPO and the views of relevant stakeholders and, where appropriate, data subjects (Art. 35(2), 35(9)).</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862"/>
        <w:gridCol w:w="4684"/>
        <w:gridCol w:w="1319"/>
      </w:tblGrid>
      <w:tr>
        <w:trPr>
          <w:cantSplit w:val="1"/>
          <w:tblHeader w:val="1"/>
        </w:trPr>
        <w:tc>
          <w:tcPr>
            <w:tcW w:type="dxa" w:w="3862"/>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Consulted</w:t>
            </w:r>
          </w:p>
        </w:tc>
        <w:tc>
          <w:tcPr>
            <w:tcW w:type="dxa" w:w="4684"/>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Input / advice</w:t>
            </w:r>
          </w:p>
        </w:tc>
        <w:tc>
          <w:tcPr>
            <w:tcW w:type="dxa" w:w="1319"/>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Date</w:t>
            </w:r>
          </w:p>
        </w:tc>
      </w:tr>
      <w:tr>
        <w:trPr>
          <w:cantSplit w:val="1"/>
        </w:trPr>
        <w:tc>
          <w:tcPr>
            <w:tcW w:type="dxa" w:w="3862"/>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Data Protection Officer</w:t>
            </w:r>
          </w:p>
        </w:tc>
        <w:tc>
          <w:tcPr>
            <w:tcW w:type="dxa" w:w="468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[DPO's documented advice]</w:t>
            </w:r>
          </w:p>
        </w:tc>
        <w:tc>
          <w:tcPr>
            <w:tcW w:type="dxa" w:w="131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[date]</w:t>
            </w:r>
          </w:p>
        </w:tc>
      </w:tr>
      <w:tr>
        <w:trPr>
          <w:cantSplit w:val="1"/>
        </w:trPr>
        <w:tc>
          <w:tcPr>
            <w:tcW w:type="dxa" w:w="3862"/>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Internal stakeholders</w:t>
            </w:r>
          </w:p>
        </w:tc>
        <w:tc>
          <w:tcPr>
            <w:tcW w:type="dxa" w:w="468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[IT / security / business owner input]</w:t>
            </w:r>
          </w:p>
        </w:tc>
        <w:tc>
          <w:tcPr>
            <w:tcW w:type="dxa" w:w="131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[date]</w:t>
            </w:r>
          </w:p>
        </w:tc>
      </w:tr>
      <w:tr>
        <w:trPr>
          <w:cantSplit w:val="1"/>
        </w:trPr>
        <w:tc>
          <w:tcPr>
            <w:tcW w:type="dxa" w:w="3862"/>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Data subjects (if appropriate)</w:t>
            </w:r>
          </w:p>
        </w:tc>
        <w:tc>
          <w:tcPr>
            <w:tcW w:type="dxa" w:w="468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[how their views were sought, or why not]</w:t>
            </w:r>
          </w:p>
        </w:tc>
        <w:tc>
          <w:tcPr>
            <w:tcW w:type="dxa" w:w="131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[date]</w:t>
            </w: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Step 4 – Assess necessity and proportionality</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740"/>
        <w:gridCol w:w="6125"/>
      </w:tblGrid>
      <w:tr>
        <w:trPr>
          <w:cantSplit w:val="1"/>
          <w:tblHeader w:val="1"/>
        </w:trPr>
        <w:tc>
          <w:tcPr>
            <w:tcW w:type="dxa" w:w="3740"/>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Question</w:t>
            </w:r>
          </w:p>
        </w:tc>
        <w:tc>
          <w:tcPr>
            <w:tcW w:type="dxa" w:w="6125"/>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Assessment</w:t>
            </w:r>
          </w:p>
        </w:tc>
      </w:tr>
      <w:tr>
        <w:trPr>
          <w:cantSplit w:val="1"/>
        </w:trPr>
        <w:tc>
          <w:tcPr>
            <w:tcW w:type="dxa" w:w="374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Lawful basis (Art. 6)</w:t>
            </w:r>
          </w:p>
        </w:tc>
        <w:tc>
          <w:tcPr>
            <w:tcW w:type="dxa" w:w="612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[which basis, and why it fits]</w:t>
            </w:r>
          </w:p>
        </w:tc>
      </w:tr>
      <w:tr>
        <w:trPr>
          <w:cantSplit w:val="1"/>
        </w:trPr>
        <w:tc>
          <w:tcPr>
            <w:tcW w:type="dxa" w:w="374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Purpose limitation</w:t>
            </w:r>
          </w:p>
        </w:tc>
        <w:tc>
          <w:tcPr>
            <w:tcW w:type="dxa" w:w="612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[data used only for the stated purpose?]</w:t>
            </w:r>
          </w:p>
        </w:tc>
      </w:tr>
      <w:tr>
        <w:trPr>
          <w:cantSplit w:val="1"/>
        </w:trPr>
        <w:tc>
          <w:tcPr>
            <w:tcW w:type="dxa" w:w="374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Data minimisation</w:t>
            </w:r>
          </w:p>
        </w:tc>
        <w:tc>
          <w:tcPr>
            <w:tcW w:type="dxa" w:w="612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[is each data item necessary? what was excluded?]</w:t>
            </w:r>
          </w:p>
        </w:tc>
      </w:tr>
      <w:tr>
        <w:trPr>
          <w:cantSplit w:val="1"/>
        </w:trPr>
        <w:tc>
          <w:tcPr>
            <w:tcW w:type="dxa" w:w="374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Accuracy &amp; retention</w:t>
            </w:r>
          </w:p>
        </w:tc>
        <w:tc>
          <w:tcPr>
            <w:tcW w:type="dxa" w:w="612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[how kept accurate; how long kept; deletion]</w:t>
            </w:r>
          </w:p>
        </w:tc>
      </w:tr>
      <w:tr>
        <w:trPr>
          <w:cantSplit w:val="1"/>
        </w:trPr>
        <w:tc>
          <w:tcPr>
            <w:tcW w:type="dxa" w:w="374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Data-subject rights</w:t>
            </w:r>
          </w:p>
        </w:tc>
        <w:tc>
          <w:tcPr>
            <w:tcW w:type="dxa" w:w="612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[how access, rectification, erasure, objection are supported]</w:t>
            </w:r>
          </w:p>
        </w:tc>
      </w:tr>
      <w:tr>
        <w:trPr>
          <w:cantSplit w:val="1"/>
        </w:trPr>
        <w:tc>
          <w:tcPr>
            <w:tcW w:type="dxa" w:w="3740"/>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Processor compliance</w:t>
            </w:r>
          </w:p>
        </w:tc>
        <w:tc>
          <w:tcPr>
            <w:tcW w:type="dxa" w:w="6125"/>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[Art. 28 DPA in place? safeguards?]</w:t>
            </w:r>
          </w:p>
        </w:tc>
      </w:tr>
      <w:tr>
        <w:trPr>
          <w:cantSplit w:val="1"/>
        </w:trPr>
        <w:tc>
          <w:tcPr>
            <w:tcW w:type="dxa" w:w="3740"/>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International transfers</w:t>
            </w:r>
          </w:p>
        </w:tc>
        <w:tc>
          <w:tcPr>
            <w:tcW w:type="dxa" w:w="6125"/>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[safeguard documented?]</w:t>
            </w: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Step 5 – Identify and assess the risks</w:t>
      </w:r>
    </w:p>
    <w:p>
      <w:pPr>
        <w:spacing w:before="0" w:after="120" w:line="324" w:lineRule="auto"/>
        <w:ind w:left="260" w:right="260"/>
      </w:pPr>
      <w:r>
        <w:rPr>
          <w:rFonts w:ascii="Inter" w:hAnsi="Inter" w:cs="Inter" w:eastAsia="Inter"/>
          <w:b w:val="0"/>
          <w:i w:val="0"/>
          <w:color w:val="35394F"/>
          <w:sz w:val="20"/>
        </w:rPr>
        <w:t>For each risk to individuals' rights and freedoms, rate likelihood and severity, then read the overall risk level from the matrix below.</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3286"/>
        <w:gridCol w:w="2022"/>
        <w:gridCol w:w="2449"/>
        <w:gridCol w:w="2107"/>
      </w:tblGrid>
      <w:tr>
        <w:trPr>
          <w:cantSplit w:val="1"/>
          <w:tblHeader w:val="1"/>
        </w:trPr>
        <w:tc>
          <w:tcPr>
            <w:tcW w:type="dxa" w:w="3286"/>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Likelihood ↓ / Severity →</w:t>
            </w:r>
          </w:p>
        </w:tc>
        <w:tc>
          <w:tcPr>
            <w:tcW w:type="dxa" w:w="2022"/>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Minimal</w:t>
            </w:r>
          </w:p>
        </w:tc>
        <w:tc>
          <w:tcPr>
            <w:tcW w:type="dxa" w:w="2449"/>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Significant</w:t>
            </w:r>
          </w:p>
        </w:tc>
        <w:tc>
          <w:tcPr>
            <w:tcW w:type="dxa" w:w="2107"/>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Severe</w:t>
            </w:r>
          </w:p>
        </w:tc>
      </w:tr>
      <w:tr>
        <w:trPr>
          <w:cantSplit w:val="1"/>
        </w:trPr>
        <w:tc>
          <w:tcPr>
            <w:tcW w:type="dxa" w:w="3286"/>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Remote</w:t>
            </w:r>
          </w:p>
        </w:tc>
        <w:tc>
          <w:tcPr>
            <w:tcW w:type="dxa" w:w="202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Low</w:t>
            </w:r>
          </w:p>
        </w:tc>
        <w:tc>
          <w:tcPr>
            <w:tcW w:type="dxa" w:w="244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Low</w:t>
            </w:r>
          </w:p>
        </w:tc>
        <w:tc>
          <w:tcPr>
            <w:tcW w:type="dxa" w:w="210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Medium</w:t>
            </w:r>
          </w:p>
        </w:tc>
      </w:tr>
      <w:tr>
        <w:trPr>
          <w:cantSplit w:val="1"/>
        </w:trPr>
        <w:tc>
          <w:tcPr>
            <w:tcW w:type="dxa" w:w="3286"/>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Possible</w:t>
            </w:r>
          </w:p>
        </w:tc>
        <w:tc>
          <w:tcPr>
            <w:tcW w:type="dxa" w:w="202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Low</w:t>
            </w:r>
          </w:p>
        </w:tc>
        <w:tc>
          <w:tcPr>
            <w:tcW w:type="dxa" w:w="2449"/>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Medium</w:t>
            </w:r>
          </w:p>
        </w:tc>
        <w:tc>
          <w:tcPr>
            <w:tcW w:type="dxa" w:w="210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High</w:t>
            </w:r>
          </w:p>
        </w:tc>
      </w:tr>
      <w:tr>
        <w:trPr>
          <w:cantSplit w:val="1"/>
        </w:trPr>
        <w:tc>
          <w:tcPr>
            <w:tcW w:type="dxa" w:w="3286"/>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Probable</w:t>
            </w:r>
          </w:p>
        </w:tc>
        <w:tc>
          <w:tcPr>
            <w:tcW w:type="dxa" w:w="202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Medium</w:t>
            </w:r>
          </w:p>
        </w:tc>
        <w:tc>
          <w:tcPr>
            <w:tcW w:type="dxa" w:w="2449"/>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High</w:t>
            </w:r>
          </w:p>
        </w:tc>
        <w:tc>
          <w:tcPr>
            <w:tcW w:type="dxa" w:w="210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val="0"/>
                <w:i w:val="0"/>
                <w:color w:val="35394F"/>
                <w:sz w:val="17"/>
              </w:rPr>
              <w:t>High</w:t>
            </w: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515"/>
        <w:gridCol w:w="2117"/>
        <w:gridCol w:w="2744"/>
        <w:gridCol w:w="2781"/>
        <w:gridCol w:w="1707"/>
      </w:tblGrid>
      <w:tr>
        <w:trPr>
          <w:cantSplit w:val="1"/>
          <w:tblHeader w:val="1"/>
        </w:trPr>
        <w:tc>
          <w:tcPr>
            <w:tcW w:type="dxa" w:w="515"/>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w:t>
            </w:r>
          </w:p>
        </w:tc>
        <w:tc>
          <w:tcPr>
            <w:tcW w:type="dxa" w:w="2117"/>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Risk to individuals</w:t>
            </w:r>
          </w:p>
        </w:tc>
        <w:tc>
          <w:tcPr>
            <w:tcW w:type="dxa" w:w="2744"/>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Likelihood</w:t>
            </w:r>
          </w:p>
        </w:tc>
        <w:tc>
          <w:tcPr>
            <w:tcW w:type="dxa" w:w="2781"/>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Severity</w:t>
            </w:r>
          </w:p>
        </w:tc>
        <w:tc>
          <w:tcPr>
            <w:tcW w:type="dxa" w:w="1707"/>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Overall risk</w:t>
            </w:r>
          </w:p>
        </w:tc>
      </w:tr>
      <w:tr>
        <w:trPr>
          <w:cantSplit w:val="1"/>
        </w:trPr>
        <w:tc>
          <w:tcPr>
            <w:tcW w:type="dxa" w:w="515"/>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1</w:t>
            </w:r>
          </w:p>
        </w:tc>
        <w:tc>
          <w:tcPr>
            <w:tcW w:type="dxa" w:w="211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[e.g. unauthorised access to customer data]</w:t>
            </w:r>
          </w:p>
        </w:tc>
        <w:tc>
          <w:tcPr>
            <w:tcW w:type="dxa" w:w="274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[Remote/Possible/Probable]</w:t>
            </w:r>
          </w:p>
        </w:tc>
        <w:tc>
          <w:tcPr>
            <w:tcW w:type="dxa" w:w="278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[Minimal/Significant/Severe]</w:t>
            </w:r>
          </w:p>
        </w:tc>
        <w:tc>
          <w:tcPr>
            <w:tcW w:type="dxa" w:w="170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[Low/Med/High]</w:t>
            </w:r>
          </w:p>
        </w:tc>
      </w:tr>
      <w:tr>
        <w:trPr>
          <w:cantSplit w:val="1"/>
        </w:trPr>
        <w:tc>
          <w:tcPr>
            <w:tcW w:type="dxa" w:w="515"/>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2</w:t>
            </w:r>
          </w:p>
        </w:tc>
        <w:tc>
          <w:tcPr>
            <w:tcW w:type="dxa" w:w="211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[e.g. data retained longer than necessary]</w:t>
            </w:r>
          </w:p>
        </w:tc>
        <w:tc>
          <w:tcPr>
            <w:tcW w:type="dxa" w:w="274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78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70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r>
        <w:trPr>
          <w:cantSplit w:val="1"/>
        </w:trPr>
        <w:tc>
          <w:tcPr>
            <w:tcW w:type="dxa" w:w="515"/>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3</w:t>
            </w:r>
          </w:p>
        </w:tc>
        <w:tc>
          <w:tcPr>
            <w:tcW w:type="dxa" w:w="211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[e.g. function creep – data reused for new purpose]</w:t>
            </w:r>
          </w:p>
        </w:tc>
        <w:tc>
          <w:tcPr>
            <w:tcW w:type="dxa" w:w="2744"/>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781"/>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707"/>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r>
        <w:trPr>
          <w:cantSplit w:val="1"/>
        </w:trPr>
        <w:tc>
          <w:tcPr>
            <w:tcW w:type="dxa" w:w="515"/>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4</w:t>
            </w:r>
          </w:p>
        </w:tc>
        <w:tc>
          <w:tcPr>
            <w:tcW w:type="dxa" w:w="211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744"/>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2781"/>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707"/>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Step 6 – Identify measures to reduce the risk</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798"/>
        <w:gridCol w:w="2822"/>
        <w:gridCol w:w="3176"/>
        <w:gridCol w:w="1768"/>
        <w:gridCol w:w="1300"/>
      </w:tblGrid>
      <w:tr>
        <w:trPr>
          <w:cantSplit w:val="1"/>
          <w:tblHeader w:val="1"/>
        </w:trPr>
        <w:tc>
          <w:tcPr>
            <w:tcW w:type="dxa" w:w="798"/>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Risk #</w:t>
            </w:r>
          </w:p>
        </w:tc>
        <w:tc>
          <w:tcPr>
            <w:tcW w:type="dxa" w:w="2822"/>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Measure to reduce or eliminate the risk</w:t>
            </w:r>
          </w:p>
        </w:tc>
        <w:tc>
          <w:tcPr>
            <w:tcW w:type="dxa" w:w="3176"/>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Effect</w:t>
            </w:r>
          </w:p>
        </w:tc>
        <w:tc>
          <w:tcPr>
            <w:tcW w:type="dxa" w:w="1768"/>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Residual risk</w:t>
            </w:r>
          </w:p>
        </w:tc>
        <w:tc>
          <w:tcPr>
            <w:tcW w:type="dxa" w:w="130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Approved</w:t>
            </w:r>
          </w:p>
        </w:tc>
      </w:tr>
      <w:tr>
        <w:trPr>
          <w:cantSplit w:val="1"/>
        </w:trPr>
        <w:tc>
          <w:tcPr>
            <w:tcW w:type="dxa" w:w="798"/>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1</w:t>
            </w:r>
          </w:p>
        </w:tc>
        <w:tc>
          <w:tcPr>
            <w:tcW w:type="dxa" w:w="282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[e.g. enforce MFA + encryption at rest; restrict access by role]</w:t>
            </w:r>
          </w:p>
        </w:tc>
        <w:tc>
          <w:tcPr>
            <w:tcW w:type="dxa" w:w="317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[Eliminated/Reduced/Accepted]</w:t>
            </w:r>
          </w:p>
        </w:tc>
        <w:tc>
          <w:tcPr>
            <w:tcW w:type="dxa" w:w="176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[Low/Med/High]</w:t>
            </w:r>
          </w:p>
        </w:tc>
        <w:tc>
          <w:tcPr>
            <w:tcW w:type="dxa" w:w="130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[Yes/No]</w:t>
            </w:r>
          </w:p>
        </w:tc>
      </w:tr>
      <w:tr>
        <w:trPr>
          <w:cantSplit w:val="1"/>
        </w:trPr>
        <w:tc>
          <w:tcPr>
            <w:tcW w:type="dxa" w:w="798"/>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2</w:t>
            </w:r>
          </w:p>
        </w:tc>
        <w:tc>
          <w:tcPr>
            <w:tcW w:type="dxa" w:w="282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[e.g. automated deletion schedule]</w:t>
            </w:r>
          </w:p>
        </w:tc>
        <w:tc>
          <w:tcPr>
            <w:tcW w:type="dxa" w:w="317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76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30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r>
        <w:trPr>
          <w:cantSplit w:val="1"/>
        </w:trPr>
        <w:tc>
          <w:tcPr>
            <w:tcW w:type="dxa" w:w="798"/>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3</w:t>
            </w:r>
          </w:p>
        </w:tc>
        <w:tc>
          <w:tcPr>
            <w:tcW w:type="dxa" w:w="2822"/>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[e.g. strict purpose-binding + change control]</w:t>
            </w:r>
          </w:p>
        </w:tc>
        <w:tc>
          <w:tcPr>
            <w:tcW w:type="dxa" w:w="3176"/>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768"/>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30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r>
        <w:trPr>
          <w:cantSplit w:val="1"/>
        </w:trPr>
        <w:tc>
          <w:tcPr>
            <w:tcW w:type="dxa" w:w="798"/>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4</w:t>
            </w:r>
          </w:p>
        </w:tc>
        <w:tc>
          <w:tcPr>
            <w:tcW w:type="dxa" w:w="2822"/>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3176"/>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768"/>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c>
          <w:tcPr>
            <w:tcW w:type="dxa" w:w="130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 ]</w:t>
            </w:r>
          </w:p>
        </w:tc>
      </w:tr>
    </w:tbl>
    <w:p>
      <w:pPr>
        <w:spacing w:before="0" w:after="0" w:line="160" w:lineRule="exact"/>
      </w:pPr>
    </w:p>
    <w:p>
      <w:pPr>
        <w:keepNext w:val="1"/>
        <w:keepLines w:val="1"/>
        <w:pBdr>
          <w:top w:val="single" w:sz="4" w:space="0" w:color="E5E7EB"/>
        </w:pBdr>
        <w:spacing w:before="200" w:after="0" w:line="20" w:lineRule="exact"/>
      </w:pPr>
    </w:p>
    <w:p>
      <w:pPr>
        <w:keepNext w:val="1"/>
        <w:keepLines w:val="1"/>
        <w:spacing w:before="160" w:after="100" w:line="276" w:lineRule="auto"/>
        <w:ind w:left="260" w:right="260"/>
      </w:pPr>
      <w:r>
        <w:rPr>
          <w:rFonts w:ascii="Funnel Display" w:hAnsi="Funnel Display" w:cs="Funnel Display" w:eastAsia="Funnel Display"/>
          <w:b/>
          <w:i w:val="0"/>
          <w:color w:val="35394F"/>
          <w:sz w:val="26"/>
        </w:rPr>
        <w:t>Step 7 – Sign off and record the outcome</w:t>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2884"/>
        <w:gridCol w:w="6980"/>
      </w:tblGrid>
      <w:tr>
        <w:trPr>
          <w:cantSplit w:val="1"/>
          <w:tblHeader w:val="1"/>
        </w:trPr>
        <w:tc>
          <w:tcPr>
            <w:tcW w:type="dxa" w:w="2884"/>
            <w:shd w:val="clear" w:color="auto" w:fill="35394F"/>
            <w:tcMar>
              <w:top w:w="70" w:type="dxa"/>
              <w:left w:w="0" w:type="dxa"/>
              <w:bottom w:w="70" w:type="dxa"/>
              <w:right w:w="120" w:type="dxa"/>
            </w:tcMar>
            <w:vAlign w:val="center"/>
          </w:tcPr>
          <w:p>
            <w:pPr>
              <w:spacing w:before="0" w:after="0" w:line="240" w:lineRule="auto"/>
              <w:ind w:left="260" w:right="0"/>
            </w:pPr>
            <w:r>
              <w:rPr>
                <w:rFonts w:ascii="Inter" w:hAnsi="Inter" w:cs="Inter" w:eastAsia="Inter"/>
                <w:b/>
                <w:i w:val="0"/>
                <w:caps w:val="1"/>
                <w:color w:val="FFFFFF"/>
                <w:spacing w:val="8"/>
                <w:sz w:val="15"/>
              </w:rPr>
              <w:t>Item</w:t>
            </w:r>
          </w:p>
        </w:tc>
        <w:tc>
          <w:tcPr>
            <w:tcW w:type="dxa" w:w="6980"/>
            <w:shd w:val="clear" w:color="auto" w:fill="35394F"/>
            <w:tcMar>
              <w:top w:w="70" w:type="dxa"/>
              <w:left w:w="120" w:type="dxa"/>
              <w:bottom w:w="70" w:type="dxa"/>
              <w:right w:w="120" w:type="dxa"/>
            </w:tcMar>
            <w:vAlign w:val="center"/>
          </w:tcPr>
          <w:p>
            <w:pPr>
              <w:spacing w:before="0" w:after="0" w:line="240" w:lineRule="auto"/>
            </w:pPr>
            <w:r>
              <w:rPr>
                <w:rFonts w:ascii="Inter" w:hAnsi="Inter" w:cs="Inter" w:eastAsia="Inter"/>
                <w:b/>
                <w:i w:val="0"/>
                <w:caps w:val="1"/>
                <w:color w:val="FFFFFF"/>
                <w:spacing w:val="8"/>
                <w:sz w:val="15"/>
              </w:rPr>
              <w:t>Outcome</w:t>
            </w:r>
          </w:p>
        </w:tc>
      </w:tr>
      <w:tr>
        <w:trPr>
          <w:cantSplit w:val="1"/>
        </w:trPr>
        <w:tc>
          <w:tcPr>
            <w:tcW w:type="dxa" w:w="2884"/>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DPO advice</w:t>
            </w:r>
          </w:p>
        </w:tc>
        <w:tc>
          <w:tcPr>
            <w:tcW w:type="dxa" w:w="698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[advice provided – accepted / overruled, with reasons]</w:t>
            </w:r>
          </w:p>
        </w:tc>
      </w:tr>
      <w:tr>
        <w:trPr>
          <w:cantSplit w:val="1"/>
        </w:trPr>
        <w:tc>
          <w:tcPr>
            <w:tcW w:type="dxa" w:w="2884"/>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Residual risk</w:t>
            </w:r>
          </w:p>
        </w:tc>
        <w:tc>
          <w:tcPr>
            <w:tcW w:type="dxa" w:w="698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[overall residual risk after measures: Low / Medium / High]</w:t>
            </w:r>
          </w:p>
        </w:tc>
      </w:tr>
      <w:tr>
        <w:trPr>
          <w:cantSplit w:val="1"/>
        </w:trPr>
        <w:tc>
          <w:tcPr>
            <w:tcW w:type="dxa" w:w="2884"/>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Prior consultation (Art. 36)</w:t>
            </w:r>
          </w:p>
        </w:tc>
        <w:tc>
          <w:tcPr>
            <w:tcW w:type="dxa" w:w="698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[required? Yes if high residual risk remains and cannot be mitigated – consult the supervisory authority before processing]</w:t>
            </w:r>
          </w:p>
        </w:tc>
      </w:tr>
      <w:tr>
        <w:trPr>
          <w:cantSplit w:val="1"/>
        </w:trPr>
        <w:tc>
          <w:tcPr>
            <w:tcW w:type="dxa" w:w="2884"/>
            <w:tcBorders>
              <w:bottom w:val="single" w:sz="2" w:space="0" w:color="E5E7EB"/>
            </w:tcBorders>
            <w:shd w:val="clear" w:color="auto" w:fill="FFFFFF"/>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Measures approved by</w:t>
            </w:r>
          </w:p>
        </w:tc>
        <w:tc>
          <w:tcPr>
            <w:tcW w:type="dxa" w:w="6980"/>
            <w:tcBorders>
              <w:bottom w:val="single" w:sz="2" w:space="0" w:color="E5E7EB"/>
            </w:tcBorders>
            <w:shd w:val="clear" w:color="auto" w:fill="FFFFFF"/>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[name, role, date]</w:t>
            </w:r>
          </w:p>
        </w:tc>
      </w:tr>
      <w:tr>
        <w:trPr>
          <w:cantSplit w:val="1"/>
        </w:trPr>
        <w:tc>
          <w:tcPr>
            <w:tcW w:type="dxa" w:w="2884"/>
            <w:tcBorders>
              <w:bottom w:val="single" w:sz="2" w:space="0" w:color="E5E7EB"/>
            </w:tcBorders>
            <w:shd w:val="clear" w:color="auto" w:fill="F9FAFB"/>
            <w:tcMar>
              <w:top w:w="80" w:type="dxa"/>
              <w:left w:w="0" w:type="dxa"/>
              <w:bottom w:w="80" w:type="dxa"/>
              <w:right w:w="120" w:type="dxa"/>
            </w:tcMar>
            <w:vAlign w:val="top"/>
          </w:tcPr>
          <w:p>
            <w:pPr>
              <w:spacing w:before="0" w:after="0" w:line="300" w:lineRule="auto"/>
              <w:ind w:left="260" w:right="0"/>
            </w:pPr>
            <w:r>
              <w:rPr>
                <w:rFonts w:ascii="Inter" w:hAnsi="Inter" w:cs="Inter" w:eastAsia="Inter"/>
                <w:b w:val="0"/>
                <w:i w:val="0"/>
                <w:color w:val="35394F"/>
                <w:sz w:val="17"/>
              </w:rPr>
              <w:t>Review date</w:t>
            </w:r>
          </w:p>
        </w:tc>
        <w:tc>
          <w:tcPr>
            <w:tcW w:type="dxa" w:w="6980"/>
            <w:tcBorders>
              <w:bottom w:val="single" w:sz="2" w:space="0" w:color="E5E7EB"/>
            </w:tcBorders>
            <w:shd w:val="clear" w:color="auto" w:fill="F9FAFB"/>
            <w:tcMar>
              <w:top w:w="80" w:type="dxa"/>
              <w:left w:w="120" w:type="dxa"/>
              <w:bottom w:w="80" w:type="dxa"/>
              <w:right w:w="120" w:type="dxa"/>
            </w:tcMar>
            <w:vAlign w:val="top"/>
          </w:tcPr>
          <w:p>
            <w:pPr>
              <w:spacing w:before="0" w:after="0" w:line="300" w:lineRule="auto"/>
            </w:pPr>
            <w:r>
              <w:rPr>
                <w:rFonts w:ascii="Inter" w:hAnsi="Inter" w:cs="Inter" w:eastAsia="Inter"/>
                <w:b/>
                <w:i w:val="0"/>
                <w:color w:val="E34663"/>
                <w:sz w:val="17"/>
              </w:rPr>
              <w:t>[when this DPIA will be reviewed, e.g. annually or on change]</w:t>
            </w:r>
          </w:p>
        </w:tc>
      </w:tr>
    </w:tbl>
    <w:p>
      <w:pPr>
        <w:spacing w:before="0" w:after="0" w:line="160" w:lineRule="exact"/>
      </w:pP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45"/>
        <w:gridCol w:w="9819"/>
      </w:tblGrid>
      <w:tr>
        <w:trPr>
          <w:cantSplit w:val="1"/>
        </w:trPr>
        <w:tc>
          <w:tcPr>
            <w:tcW w:type="dxa" w:w="45"/>
            <w:shd w:val="clear" w:color="auto" w:fill="E34663"/>
            <w:tcMar>
              <w:top w:w="130" w:type="dxa"/>
              <w:left w:w="0" w:type="dxa"/>
              <w:bottom w:w="130" w:type="dxa"/>
              <w:right w:w="0" w:type="dxa"/>
            </w:tcMar>
          </w:tcPr>
          <w:p/>
        </w:tc>
        <w:tc>
          <w:tcPr>
            <w:tcW w:type="dxa" w:w="9819"/>
            <w:shd w:val="clear" w:color="auto" w:fill="FEF6F7"/>
            <w:tcMar>
              <w:top w:w="130" w:type="dxa"/>
              <w:left w:w="0" w:type="dxa"/>
              <w:bottom w:w="130" w:type="dxa"/>
              <w:right w:w="0" w:type="dxa"/>
            </w:tcMar>
          </w:tcPr>
          <w:p>
            <w:pPr>
              <w:spacing w:before="0" w:after="0" w:line="312" w:lineRule="auto"/>
              <w:ind w:left="215" w:right="260"/>
            </w:pPr>
            <w:r>
              <w:rPr>
                <w:rFonts w:ascii="Funnel Display" w:hAnsi="Funnel Display" w:cs="Funnel Display" w:eastAsia="Funnel Display"/>
                <w:b/>
                <w:i w:val="0"/>
                <w:color w:val="E34663"/>
                <w:spacing w:val="8"/>
                <w:sz w:val="16"/>
              </w:rPr>
              <w:t xml:space="preserve">» HOW TO USE  </w:t>
            </w:r>
            <w:r>
              <w:rPr>
                <w:rFonts w:ascii="Inter" w:hAnsi="Inter" w:cs="Inter" w:eastAsia="Inter"/>
                <w:b w:val="0"/>
                <w:i w:val="0"/>
                <w:color w:val="35394F"/>
                <w:sz w:val="16"/>
              </w:rPr>
              <w:t>If a high residual risk remains that you cannot mitigate, you must consult your supervisory authority before starting the processing (Art. 36 GDPR). Otherwise, the DPO and accountable owner sign off, and you review the DPIA whenever the processing changes.</w:t>
            </w:r>
          </w:p>
        </w:tc>
      </w:tr>
    </w:tbl>
    <w:p>
      <w:pPr>
        <w:spacing w:before="0" w:after="0" w:line="120" w:lineRule="exact"/>
      </w:pPr>
    </w:p>
    <w:p>
      <w:pPr>
        <w:spacing w:before="0" w:after="120" w:line="324" w:lineRule="auto"/>
        <w:ind w:left="260" w:right="260"/>
      </w:pPr>
      <w:r>
        <w:rPr>
          <w:rFonts w:ascii="Inter" w:hAnsi="Inter" w:cs="Inter" w:eastAsia="Inter"/>
          <w:b w:val="0"/>
          <w:i w:val="0"/>
          <w:color w:val="35394F"/>
          <w:sz w:val="20"/>
        </w:rPr>
        <w:t>This template is provided for guidance only and does not constitute legal advice. Reviewed by a certified Data Protection Officer (CIPP/E) · ETHYX · ethyx.eu</w:t>
      </w:r>
    </w:p>
    <w:sectPr w:rsidR="00FC693F" w:rsidRPr="0006063C" w:rsidSect="00034616">
      <w:footerReference w:type="default" r:id="rId11"/>
      <w:pgSz w:w="11906" w:h="16838"/>
      <w:pgMar w:top="794" w:right="1020" w:bottom="850" w:left="1020" w:header="454"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Inter">
    <w:altName w:val="Arial"/>
    <w:embedRegular r:id="rId1" w:fontKey="{1D1BF4EF-2395-4AE2-BACE-B9C497814D09}"/>
    <w:embedBold r:id="rId2" w:fontKey="{4EECAB89-0C70-48CB-91FC-B7DA6AFE3355}"/>
  </w:font>
  <w:font w:name="Funnel Display">
    <w:altName w:val="Arial"/>
    <w:embedBold r:id="rId3" w:fontKey="{ADDF1D30-E6A6-40EA-B002-DB4C3C9B4B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0" w:lineRule="exact"/>
    </w:pPr>
    <w:r/>
  </w:p>
  <w:tbl>
    <w:tblPr>
      <w:tblW w:w="986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firstColumn="1" w:firstRow="1" w:lastColumn="0" w:lastRow="0" w:noHBand="0" w:noVBand="1" w:val="04A0"/>
    </w:tblPr>
    <w:tblGrid>
      <w:gridCol w:w="9371"/>
      <w:gridCol w:w="493"/>
    </w:tblGrid>
    <w:tr>
      <w:tc>
        <w:tcPr>
          <w:tcW w:type="dxa" w:w="9371"/>
          <w:tcBorders>
            <w:top w:val="single" w:sz="4" w:space="0" w:color="E5E7EB"/>
          </w:tcBorders>
          <w:tcMar>
            <w:top w:w="110" w:type="dxa"/>
            <w:left w:w="0" w:type="dxa"/>
            <w:bottom w:w="0" w:type="dxa"/>
            <w:right w:w="0" w:type="dxa"/>
          </w:tcMar>
        </w:tcPr>
        <w:p>
          <w:pPr>
            <w:spacing w:before="0" w:after="0" w:line="240" w:lineRule="auto"/>
          </w:pPr>
          <w:r>
            <w:rPr>
              <w:rFonts w:ascii="Inter" w:hAnsi="Inter" w:cs="Inter" w:eastAsia="Inter"/>
              <w:b w:val="0"/>
              <w:i w:val="0"/>
              <w:color w:val="6B7280"/>
              <w:sz w:val="14"/>
            </w:rPr>
            <w:t>Data Protection Impact Assessment (DPIA) · Reviewed by a certified Data Protection Officer (CIPP/E) · Provided by ETHYX (</w:t>
          </w:r>
          <w:hyperlink r:id="rId1">
            <w:r>
              <w:rPr>
                <w:rFonts w:ascii="Inter" w:hAnsi="Inter" w:cs="Inter" w:eastAsia="Inter"/>
                <w:b w:val="0"/>
                <w:i w:val="0"/>
                <w:color w:val="6B7280"/>
                <w:sz w:val="14"/>
              </w:rPr>
              <w:t>ethyx.eu</w:t>
            </w:r>
          </w:hyperlink>
          <w:r>
            <w:rPr>
              <w:rFonts w:ascii="Inter" w:hAnsi="Inter" w:cs="Inter" w:eastAsia="Inter"/>
              <w:b w:val="0"/>
              <w:i w:val="0"/>
              <w:color w:val="6B7280"/>
              <w:sz w:val="14"/>
            </w:rPr>
            <w:t>) · For guidance only – not legal advice</w:t>
          </w:r>
        </w:p>
      </w:tc>
      <w:tc>
        <w:tcPr>
          <w:tcW w:type="dxa" w:w="493"/>
          <w:tcBorders>
            <w:top w:val="single" w:sz="4" w:space="0" w:color="E5E7EB"/>
          </w:tcBorders>
          <w:tcMar>
            <w:top w:w="110" w:type="dxa"/>
            <w:left w:w="0" w:type="dxa"/>
            <w:bottom w:w="0" w:type="dxa"/>
            <w:right w:w="260" w:type="dxa"/>
          </w:tcMar>
        </w:tcPr>
        <w:p>
          <w:pPr>
            <w:spacing w:before="0" w:after="0" w:line="240" w:lineRule="auto"/>
            <w:jc w:val="right"/>
            <w:rPr>
              <w:rFonts w:ascii="Inter" w:hAnsi="Inter" w:cs="Inter" w:eastAsia="Inter"/>
              <w:b w:val="0"/>
              <w:i w:val="0"/>
              <w:color w:val="6B7280"/>
              <w:sz w:val="14"/>
            </w:rPr>
          </w:pPr>
          <w:r>
            <w:rPr>
              <w:rFonts w:ascii="Inter" w:hAnsi="Inter" w:cs="Inter" w:eastAsia="Inter"/>
              <w:b w:val="0"/>
              <w:i w:val="0"/>
              <w:color w:val="6B7280"/>
              <w:sz w:val="14"/>
            </w:rPr>
            <w:fldChar w:fldCharType="begin"/>
          </w:r>
          <w:r>
            <w:rPr>
              <w:rFonts w:ascii="Inter" w:hAnsi="Inter" w:cs="Inter" w:eastAsia="Inter"/>
              <w:b w:val="0"/>
              <w:i w:val="0"/>
              <w:color w:val="6B7280"/>
              <w:sz w:val="14"/>
            </w:rPr>
            <w:instrText xml:space="preserve"> PAGE </w:instrText>
          </w:r>
          <w:r>
            <w:rPr>
              <w:rFonts w:ascii="Inter" w:hAnsi="Inter" w:cs="Inter" w:eastAsia="Inter"/>
              <w:b w:val="0"/>
              <w:i w:val="0"/>
              <w:color w:val="6B7280"/>
              <w:sz w:val="14"/>
            </w:rPr>
            <w:fldChar w:fldCharType="separate"/>
          </w:r>
          <w:r>
            <w:rPr>
              <w:rFonts w:ascii="Inter" w:hAnsi="Inter" w:cs="Inter" w:eastAsia="Inter"/>
              <w:b w:val="0"/>
              <w:i w:val="0"/>
              <w:color w:val="6B7280"/>
              <w:sz w:val="14"/>
            </w:rPr>
            <w:t/>
          </w:r>
          <w:r>
            <w:rPr>
              <w:rFonts w:ascii="Inter" w:hAnsi="Inter" w:cs="Inter" w:eastAsia="Inter"/>
              <w:b w:val="0"/>
              <w:i w:val="0"/>
              <w:color w:val="6B7280"/>
              <w:sz w:val="14"/>
            </w:rPr>
            <w:fldChar w:fldCharType="end"/>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embedTrueTypeFonts w:val="tru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0" w:lineRule="auto"/>
    </w:pPr>
    <w:rPr>
      <w:rFonts w:ascii="Inter" w:hAnsi="Inter" w:cs="Inter" w:eastAsia="Inter"/>
      <w:color w:val="35394F"/>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ethyx.eu/?utm_source=gated-asset&amp;utm_medium=document&amp;utm_campaign=dpia-template-en" TargetMode="External"/><Relationship Id="rId11"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fntdata"/><Relationship Id="rId2" Type="http://schemas.openxmlformats.org/officeDocument/2006/relationships/font" Target="fonts/font2.fntdata"/><Relationship Id="rId3" Type="http://schemas.openxmlformats.org/officeDocument/2006/relationships/font" Target="fonts/font3.fntdata"/></Relationships>
</file>

<file path=word/_rels/footer1.xml.rels><?xml version='1.0' encoding='UTF-8' standalone='yes'?>
<Relationships xmlns="http://schemas.openxmlformats.org/package/2006/relationships"><Relationship Id="rId1" Type="http://schemas.openxmlformats.org/officeDocument/2006/relationships/hyperlink" Target="https://ethyx.eu/?utm_source=gated-asset&amp;utm_medium=document&amp;utm_campaign=dpia-templat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Impact Assessment (DPIA)</dc:title>
  <dc:subject/>
  <dc:creator>ETHYX</dc:creator>
  <cp:keywords/>
  <dc:description>Legally reviewed by a certified Data Protection Officer (CIPP/E) · Provided by ETHYX · Version 1.0 · June 2026</dc:description>
  <cp:lastModifiedBy/>
  <cp:revision>1</cp:revision>
  <dcterms:created xsi:type="dcterms:W3CDTF">2013-12-23T23:15:00Z</dcterms:created>
  <dcterms:modified xsi:type="dcterms:W3CDTF">2013-12-23T23:15:00Z</dcterms:modified>
  <cp:category/>
</cp:coreProperties>
</file>